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BC51A" w14:textId="6A39D619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Tema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tica</w:t>
      </w:r>
      <w:r w:rsidR="00A23A01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 </w:t>
      </w:r>
      <w:r w:rsidR="00A23A01" w:rsidRPr="00A23A01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 xml:space="preserve">concurs Inginer de cercetare recunoscut, cod COR </w:t>
      </w:r>
      <w:r w:rsidR="00A23A01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211101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:</w:t>
      </w:r>
    </w:p>
    <w:p w14:paraId="7DC137AA" w14:textId="71502C2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1. Noțiuni fundamentale de electricitate și electromagnetism</w:t>
      </w:r>
    </w:p>
    <w:p w14:paraId="788182E5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Sarcina electrică, câmpul electric și potențialul electric. </w:t>
      </w:r>
    </w:p>
    <w:p w14:paraId="1B877B10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Curentul electric, tensiunea și rezistența electrică. </w:t>
      </w:r>
    </w:p>
    <w:p w14:paraId="3788CFA2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Legea lui Ohm și legile lui Kirchhoff. </w:t>
      </w:r>
    </w:p>
    <w:p w14:paraId="169243E2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Puterea și energia electrică. </w:t>
      </w:r>
    </w:p>
    <w:p w14:paraId="0442FA44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Circuite electrice de curent continuu și curent alternativ. </w:t>
      </w:r>
    </w:p>
    <w:p w14:paraId="1887A8EB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Câmpul magnetic și inducția electromagnetică. </w:t>
      </w:r>
    </w:p>
    <w:p w14:paraId="27680B46" w14:textId="77777777" w:rsidR="002F1CE7" w:rsidRPr="002F1CE7" w:rsidRDefault="002F1CE7" w:rsidP="002F1CE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Comportarea rezistoarelor, condensatoarelor și bobinelor în circuite electrice. </w:t>
      </w:r>
    </w:p>
    <w:p w14:paraId="5D855658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>2. Circuite electrice și electronice utilizate în echipamentele stațiilor seismice</w:t>
      </w:r>
    </w:p>
    <w:p w14:paraId="5F4E469B" w14:textId="77777777" w:rsidR="002F1CE7" w:rsidRPr="002F1CE7" w:rsidRDefault="002F1CE7" w:rsidP="002F1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Componente electrice și electronice pasive și active. </w:t>
      </w:r>
    </w:p>
    <w:p w14:paraId="58F7A3F0" w14:textId="77777777" w:rsidR="002F1CE7" w:rsidRPr="002F1CE7" w:rsidRDefault="002F1CE7" w:rsidP="002F1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Rezistoare, condensatoare, inductoare, diode și tranzistoare. </w:t>
      </w:r>
    </w:p>
    <w:p w14:paraId="2F592327" w14:textId="77777777" w:rsidR="002F1CE7" w:rsidRPr="002F1CE7" w:rsidRDefault="002F1CE7" w:rsidP="002F1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Redresoare, filtre și stabilizatoare de tensiune. </w:t>
      </w:r>
    </w:p>
    <w:p w14:paraId="09A65767" w14:textId="77777777" w:rsidR="002F1CE7" w:rsidRPr="002F1CE7" w:rsidRDefault="002F1CE7" w:rsidP="002F1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Surse de alimentare. </w:t>
      </w:r>
    </w:p>
    <w:p w14:paraId="4D73C1CA" w14:textId="77777777" w:rsidR="002F1CE7" w:rsidRPr="002F1CE7" w:rsidRDefault="002F1CE7" w:rsidP="002F1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Circuite de protecție, comandă și semnalizare. </w:t>
      </w:r>
    </w:p>
    <w:p w14:paraId="6CDE4523" w14:textId="77777777" w:rsidR="002F1CE7" w:rsidRPr="002F1CE7" w:rsidRDefault="002F1CE7" w:rsidP="002F1CE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Principii de verificare și depanare a circuitelor electrice și electronice. </w:t>
      </w:r>
    </w:p>
    <w:p w14:paraId="260F38FE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3. Sisteme de alimentare cu energie electrică ale stațiilor seismice</w:t>
      </w:r>
    </w:p>
    <w:p w14:paraId="310A23B1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Alimentarea de la rețeaua de energie electrică și alimentarea autonomă. </w:t>
      </w:r>
    </w:p>
    <w:p w14:paraId="6D0818B6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Surse de alimentare de rezervă. </w:t>
      </w:r>
    </w:p>
    <w:p w14:paraId="6AA8EF08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Acumulatori: caracteristici, încărcare, descărcare și întreținere. </w:t>
      </w:r>
    </w:p>
    <w:p w14:paraId="6DE6FBEA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Dimensionarea consumului energetic al unei stații seismice. </w:t>
      </w:r>
    </w:p>
    <w:p w14:paraId="515B436E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Monitorizarea parametrilor sistemului de alimentare. </w:t>
      </w:r>
    </w:p>
    <w:p w14:paraId="3536C3E1" w14:textId="77777777" w:rsidR="002F1CE7" w:rsidRPr="002F1CE7" w:rsidRDefault="002F1CE7" w:rsidP="002F1CE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Identificarea și diagnosticarea defecțiunilor sistemelor de alimentare. </w:t>
      </w:r>
    </w:p>
    <w:p w14:paraId="211BA98A" w14:textId="4718587A" w:rsidR="002F1CE7" w:rsidRPr="002F1CE7" w:rsidRDefault="00A9616E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4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Măsurări electrice, verificarea și diagnosticarea echipamentelor stațiilor seismice</w:t>
      </w:r>
    </w:p>
    <w:p w14:paraId="3D43E316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Măsurarea tensiunii, curentului și rezistenței electrice. </w:t>
      </w:r>
    </w:p>
    <w:p w14:paraId="706B8633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Utilizarea aparatelor de măsură. </w:t>
      </w:r>
    </w:p>
    <w:p w14:paraId="6808501B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Verificarea continuității circuitelor și cablurilor. </w:t>
      </w:r>
    </w:p>
    <w:p w14:paraId="21F60622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Verificarea surselor de alimentare și a acumulatorilor. </w:t>
      </w:r>
    </w:p>
    <w:p w14:paraId="76561686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Identificarea întreruperilor, scurtcircuitelor și contactelor electrice necorespunzătoare. </w:t>
      </w:r>
    </w:p>
    <w:p w14:paraId="5FAAFA27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Identificarea și localizarea defecțiunilor. </w:t>
      </w:r>
    </w:p>
    <w:p w14:paraId="3D4BA487" w14:textId="77777777" w:rsidR="002F1CE7" w:rsidRPr="002F1CE7" w:rsidRDefault="002F1CE7" w:rsidP="002F1CE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Mentenanța preventivă și corectivă </w:t>
      </w:r>
      <w:proofErr w:type="gramStart"/>
      <w:r w:rsidRPr="002F1CE7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gramEnd"/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 echipamentelor. </w:t>
      </w:r>
    </w:p>
    <w:p w14:paraId="19F39A46" w14:textId="078EE80E" w:rsidR="002F1CE7" w:rsidRPr="002F1CE7" w:rsidRDefault="00A9616E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Protecția electrică </w:t>
      </w:r>
      <w:proofErr w:type="gramStart"/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  <w:proofErr w:type="gramEnd"/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echipamentelor și instalațiilor stațiilor seismice</w:t>
      </w:r>
    </w:p>
    <w:p w14:paraId="317230FE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Protecția împotriva supracurenților, scurtcircuitelor și supratensiunilor. </w:t>
      </w:r>
    </w:p>
    <w:p w14:paraId="04CE57A5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Legarea la pământ și rolul acesteia. </w:t>
      </w:r>
    </w:p>
    <w:p w14:paraId="7B050079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Protecția echipamentelor electronice împotriva perturbațiilor electrice și electromagnetice. </w:t>
      </w:r>
    </w:p>
    <w:p w14:paraId="09F01041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Protecția echipamentelor instalate în teren. </w:t>
      </w:r>
    </w:p>
    <w:p w14:paraId="59AC4F79" w14:textId="77777777" w:rsidR="002F1CE7" w:rsidRPr="002F1CE7" w:rsidRDefault="002F1CE7" w:rsidP="002F1CE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Reguli generale de securitate în exploatarea și întreținerea instalațiilor electrice. </w:t>
      </w:r>
    </w:p>
    <w:p w14:paraId="4271C832" w14:textId="27BD0737" w:rsidR="002F1CE7" w:rsidRPr="002F1CE7" w:rsidRDefault="00A9616E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6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. Instalarea și punerea în funcțiune a unei stații seismice</w:t>
      </w:r>
    </w:p>
    <w:p w14:paraId="221A0DF1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Componentele principale ale unei stații seismice: senzor seismic/accelerometru, digitizor, sistem de sincronizare temporală, sistem de comunicații și sistem de alimentare. </w:t>
      </w:r>
    </w:p>
    <w:p w14:paraId="5C959FFB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Criterii generale pentru alegerea amplasamentului unei stații seismice. </w:t>
      </w:r>
    </w:p>
    <w:p w14:paraId="73273A52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Pregătirea amplasamentului și instalarea echipamentelor. </w:t>
      </w:r>
    </w:p>
    <w:p w14:paraId="42F54956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Instalarea, poziționarea, orientarea și conectarea senzorilor seismici. </w:t>
      </w:r>
    </w:p>
    <w:p w14:paraId="570B314C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Instalarea și conectarea digitizorului. </w:t>
      </w:r>
    </w:p>
    <w:p w14:paraId="636F0E45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Instalarea sistemului GPS/GNSS pentru sincronizarea temporală. </w:t>
      </w:r>
    </w:p>
    <w:p w14:paraId="368348DB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Realizarea conexiunilor de alimentare, comunicație și împământare. </w:t>
      </w:r>
    </w:p>
    <w:p w14:paraId="658EC097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Instalarea sistemelor autonome de alimentare cu panouri fotovoltaice și acumulatori. </w:t>
      </w:r>
    </w:p>
    <w:p w14:paraId="307F4230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Protecția echipamentelor față de condițiile de mediu și supratensiuni. </w:t>
      </w:r>
    </w:p>
    <w:p w14:paraId="1D1B0368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Configurarea inițială și verificarea parametrilor de funcționare. </w:t>
      </w:r>
    </w:p>
    <w:p w14:paraId="305E69B3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Verificarea comunicației și a transmiterii datelor. </w:t>
      </w:r>
    </w:p>
    <w:p w14:paraId="3109C55B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Testarea și punerea în funcțiune a stației. </w:t>
      </w:r>
    </w:p>
    <w:p w14:paraId="5EE4F8EB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Monitorizarea parametrilor de stare și verificarea calității datelor după instalare. </w:t>
      </w:r>
    </w:p>
    <w:p w14:paraId="112E2671" w14:textId="77777777" w:rsidR="002F1CE7" w:rsidRPr="002F1CE7" w:rsidRDefault="002F1CE7" w:rsidP="002F1CE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Documentarea configurației și a intervențiilor efectuate la stație. </w:t>
      </w:r>
    </w:p>
    <w:p w14:paraId="449C7851" w14:textId="099C5497" w:rsidR="002F1CE7" w:rsidRPr="002F1CE7" w:rsidRDefault="00A9616E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 w:rsidR="002F1CE7" w:rsidRPr="002F1CE7">
        <w:rPr>
          <w:rFonts w:ascii="Times New Roman" w:eastAsia="Times New Roman" w:hAnsi="Times New Roman" w:cs="Times New Roman"/>
          <w:b/>
          <w:bCs/>
          <w:sz w:val="24"/>
          <w:szCs w:val="24"/>
        </w:rPr>
        <w:t>. Digitizoare și sisteme de achiziție a datelor seismice</w:t>
      </w:r>
    </w:p>
    <w:p w14:paraId="41C0A227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Principii privind achiziția și digitizarea semnalelor seismice. </w:t>
      </w:r>
    </w:p>
    <w:p w14:paraId="16198D22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Conversia analog-digitală și rezoluția digitizoarelor. </w:t>
      </w:r>
    </w:p>
    <w:p w14:paraId="6D481875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Rata de eșantionare și filtrarea semnalelor. </w:t>
      </w:r>
    </w:p>
    <w:p w14:paraId="01DF28CF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Conectarea senzorilor seismici și accelerometrici. </w:t>
      </w:r>
    </w:p>
    <w:p w14:paraId="692D3AAE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Sincronizarea temporală prin GPS/GNSS. </w:t>
      </w:r>
    </w:p>
    <w:p w14:paraId="073108DF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Achiziția, înregistrarea, stocarea și transmiterea datelor. </w:t>
      </w:r>
    </w:p>
    <w:p w14:paraId="7F2E0D74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>Parametrii de stare (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State of Health – SOH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24C70F0F" w14:textId="77777777" w:rsidR="002F1CE7" w:rsidRPr="002F1CE7" w:rsidRDefault="002F1CE7" w:rsidP="002F1CE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Configurarea, monitorizarea și administrarea digitizoarelor. </w:t>
      </w:r>
    </w:p>
    <w:p w14:paraId="039965EE" w14:textId="223206CB" w:rsidR="002F1CE7" w:rsidRDefault="002F1CE7" w:rsidP="00844D9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Diagnosticarea problemelor de achiziție, sincronizare, comunicație și stocare. </w:t>
      </w:r>
    </w:p>
    <w:p w14:paraId="743B4DF8" w14:textId="222B1416" w:rsid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</w:p>
    <w:p w14:paraId="1D1DA217" w14:textId="77777777" w:rsidR="002F1CE7" w:rsidRPr="002F1CE7" w:rsidRDefault="002F1CE7" w:rsidP="002F1CE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/>
        </w:rPr>
      </w:pPr>
      <w:r w:rsidRPr="002F1CE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it-IT"/>
        </w:rPr>
        <w:t>BIBLIOGRAFIE</w:t>
      </w:r>
    </w:p>
    <w:p w14:paraId="14E00AC6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1. Edward M. Purcell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Cursul de fizică Berkeley, Volumul II – Electricitate și magnetism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720A0D2B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2. Liviu Arici, Florea Uliu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Electricitate și magnetism. Probleme... captivante (cu soluții complete)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06A81027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3. Adrian Badea, Horia Necula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Surse regenerabile de energie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>, Editura AGIR.</w:t>
      </w:r>
    </w:p>
    <w:p w14:paraId="78806070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Manualul Electricianului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>, XM Editor.</w:t>
      </w:r>
    </w:p>
    <w:p w14:paraId="70009255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302 Circuite electronice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>, Editura Teora.</w:t>
      </w:r>
    </w:p>
    <w:p w14:paraId="60FACB93" w14:textId="75C70C6E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6. Quanterra / Kinemetrics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Q330 Operation Guide – A Guide to Q330/Q330HR and Baler Operation and an Overview of the Support Tools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Documentație tehnică pentru instalarea, configurarea, operarea și diagnosticarea sistemelor Q330/Q330HR. 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5" w:tgtFrame="_blank" w:history="1">
        <w:r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https://www.q330.com/Download/VersionHistory.htm</w:t>
        </w:r>
      </w:hyperlink>
    </w:p>
    <w:p w14:paraId="1060BA9F" w14:textId="37C2A4A8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7. Kinemetrics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Basalt / Basalt4X / Basalt8X – High Dynamic Range, IP Aware, Communication Centric Multi-Channel Accelerograph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Documentație tehnică pentru sistemele Basalt. 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6" w:tgtFrame="_blank" w:history="1">
        <w:r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it-IT"/>
          </w:rPr>
          <w:t>https://kinemetrics.com/legacy_products/basalt-basalt4x-basalt8x/</w:t>
        </w:r>
      </w:hyperlink>
    </w:p>
    <w:p w14:paraId="69E40EAC" w14:textId="721FC1D2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8. Kinemetrics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EpiSensor Force Balance Accelerometer – User Guide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>. Documentație privind instalarea, conectarea, alimentarea și utilizarea accelerometrelor EpiSensor.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7" w:tgtFrame="_blank" w:history="1">
        <w:r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https://wiki.kmi.com/wiki/images/b/ba/301929b.pdf</w:t>
        </w:r>
      </w:hyperlink>
    </w:p>
    <w:p w14:paraId="6D13BD11" w14:textId="1EDC1C06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9. Kinemetrics – </w:t>
      </w:r>
      <w:r w:rsidRPr="002F1CE7">
        <w:rPr>
          <w:rFonts w:ascii="Times New Roman" w:eastAsia="Times New Roman" w:hAnsi="Times New Roman" w:cs="Times New Roman"/>
          <w:i/>
          <w:iCs/>
          <w:sz w:val="24"/>
          <w:szCs w:val="24"/>
        </w:rPr>
        <w:t>Free-Field Stations Installation Guidelines for Post-Event Assessment of Nearby Structures</w:t>
      </w:r>
      <w:r w:rsidRPr="002F1CE7">
        <w:rPr>
          <w:rFonts w:ascii="Times New Roman" w:eastAsia="Times New Roman" w:hAnsi="Times New Roman" w:cs="Times New Roman"/>
          <w:sz w:val="24"/>
          <w:szCs w:val="24"/>
        </w:rPr>
        <w:t xml:space="preserve">, Application Note 71. 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Ghid foarte util pentru instalarea unei stații seismice: alegerea amplasamentului, fundație, incinte de protecție, alimentare, comunicații și instalarea echipamentelor. </w:t>
      </w:r>
      <w:r w:rsidRPr="002F1CE7">
        <w:rPr>
          <w:rFonts w:ascii="Times New Roman" w:eastAsia="Times New Roman" w:hAnsi="Times New Roman" w:cs="Times New Roman"/>
          <w:sz w:val="24"/>
          <w:szCs w:val="24"/>
          <w:lang w:val="it-IT"/>
        </w:rPr>
        <w:br/>
      </w:r>
      <w:hyperlink r:id="rId8" w:tgtFrame="_blank" w:history="1">
        <w:r w:rsidRPr="002F1CE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https://www.kinemetrics.com/wp-content/uploads/2017/04/an71-free-field-station-installation-guidelines-post-event-assessment-nearby-structures.pdf</w:t>
        </w:r>
      </w:hyperlink>
    </w:p>
    <w:p w14:paraId="69AE6688" w14:textId="77777777" w:rsidR="002F1CE7" w:rsidRPr="002F1CE7" w:rsidRDefault="002F1CE7" w:rsidP="002F1C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F1CE7" w:rsidRPr="002F1C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0321"/>
    <w:multiLevelType w:val="multilevel"/>
    <w:tmpl w:val="767AC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B10956"/>
    <w:multiLevelType w:val="multilevel"/>
    <w:tmpl w:val="C4A6C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4822B4"/>
    <w:multiLevelType w:val="multilevel"/>
    <w:tmpl w:val="1988C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EE3D07"/>
    <w:multiLevelType w:val="multilevel"/>
    <w:tmpl w:val="F56E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625AB8"/>
    <w:multiLevelType w:val="multilevel"/>
    <w:tmpl w:val="3A0C4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014A3E"/>
    <w:multiLevelType w:val="multilevel"/>
    <w:tmpl w:val="D5EA1A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9B6199"/>
    <w:multiLevelType w:val="multilevel"/>
    <w:tmpl w:val="DD4C6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7307E6"/>
    <w:multiLevelType w:val="multilevel"/>
    <w:tmpl w:val="73A4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8D2E1C"/>
    <w:multiLevelType w:val="multilevel"/>
    <w:tmpl w:val="337A2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4E71EB"/>
    <w:multiLevelType w:val="multilevel"/>
    <w:tmpl w:val="1098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4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E7"/>
    <w:rsid w:val="002F1CE7"/>
    <w:rsid w:val="00A23A01"/>
    <w:rsid w:val="00A9616E"/>
    <w:rsid w:val="00D96809"/>
    <w:rsid w:val="00EB2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F550E"/>
  <w15:chartTrackingRefBased/>
  <w15:docId w15:val="{E72DF66A-2997-4B83-BD17-248178E05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1C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Normal"/>
    <w:rsid w:val="002F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F1CE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F1C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F1CE7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F1CE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ntents">
    <w:name w:val="contents"/>
    <w:basedOn w:val="DefaultParagraphFont"/>
    <w:rsid w:val="002F1CE7"/>
  </w:style>
  <w:style w:type="character" w:styleId="Hyperlink">
    <w:name w:val="Hyperlink"/>
    <w:basedOn w:val="DefaultParagraphFont"/>
    <w:uiPriority w:val="99"/>
    <w:semiHidden/>
    <w:unhideWhenUsed/>
    <w:rsid w:val="002F1C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inemetrics.com/wp-content/uploads/2017/04/an71-free-field-station-installation-guidelines-post-event-assessment-nearby-structures.pdf?utm_source=chatgpt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iki.kmi.com/wiki/images/b/ba/301929b.pdf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inemetrics.com/legacy_products/basalt-basalt4x-basalt8x/?utm_source=chatgpt.com" TargetMode="External"/><Relationship Id="rId5" Type="http://schemas.openxmlformats.org/officeDocument/2006/relationships/hyperlink" Target="https://www.q330.com/Download/VersionHistory.htm?utm_source=chatgpt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890</Words>
  <Characters>5079</Characters>
  <Application>Microsoft Office Word</Application>
  <DocSecurity>0</DocSecurity>
  <Lines>42</Lines>
  <Paragraphs>11</Paragraphs>
  <ScaleCrop>false</ScaleCrop>
  <Company/>
  <LinksUpToDate>false</LinksUpToDate>
  <CharactersWithSpaces>5958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Neagoe</dc:creator>
  <cp:keywords/>
  <dc:description/>
  <cp:lastModifiedBy>utilizator</cp:lastModifiedBy>
  <cp:revision>6</cp:revision>
  <dcterms:created xsi:type="dcterms:W3CDTF">2026-09-22T07:55:00Z</dcterms:created>
  <dcterms:modified xsi:type="dcterms:W3CDTF">2026-09-23T08:37:00Z</dcterms:modified>
</cp:coreProperties>
</file>